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DC475" w14:textId="77777777" w:rsidR="00B13891" w:rsidRPr="006C57CB" w:rsidRDefault="00B734EB" w:rsidP="00630E6F">
      <w:pPr>
        <w:spacing w:line="360" w:lineRule="auto"/>
        <w:jc w:val="both"/>
        <w:rPr>
          <w:rFonts w:asciiTheme="minorHAnsi" w:hAnsiTheme="minorHAnsi" w:cstheme="minorHAnsi"/>
          <w:color w:val="1F497D"/>
          <w:sz w:val="24"/>
          <w:szCs w:val="24"/>
          <w:lang w:val="en-GB"/>
        </w:rPr>
      </w:pPr>
      <w:bookmarkStart w:id="0" w:name="_GoBack"/>
      <w:bookmarkEnd w:id="0"/>
      <w:r w:rsidRPr="0095193E">
        <w:rPr>
          <w:noProof/>
          <w:lang w:eastAsia="en-US"/>
        </w:rPr>
        <w:drawing>
          <wp:inline distT="0" distB="0" distL="0" distR="0" wp14:anchorId="104C2E61" wp14:editId="559BFE41">
            <wp:extent cx="2200275" cy="923925"/>
            <wp:effectExtent l="19050" t="0" r="9525" b="0"/>
            <wp:docPr id="1" name="Picture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8" cstate="print"/>
                    <a:srcRect/>
                    <a:stretch>
                      <a:fillRect/>
                    </a:stretch>
                  </pic:blipFill>
                  <pic:spPr bwMode="auto">
                    <a:xfrm>
                      <a:off x="0" y="0"/>
                      <a:ext cx="2200275" cy="923925"/>
                    </a:xfrm>
                    <a:prstGeom prst="rect">
                      <a:avLst/>
                    </a:prstGeom>
                    <a:noFill/>
                    <a:ln w="9525">
                      <a:noFill/>
                      <a:miter lim="800000"/>
                      <a:headEnd/>
                      <a:tailEnd/>
                    </a:ln>
                  </pic:spPr>
                </pic:pic>
              </a:graphicData>
            </a:graphic>
          </wp:inline>
        </w:drawing>
      </w:r>
    </w:p>
    <w:p w14:paraId="53A0FB16" w14:textId="77777777" w:rsidR="00B734EB" w:rsidRPr="0095193E" w:rsidRDefault="00B734EB" w:rsidP="00630E6F">
      <w:pPr>
        <w:spacing w:line="360" w:lineRule="auto"/>
        <w:jc w:val="both"/>
        <w:rPr>
          <w:rFonts w:asciiTheme="minorHAnsi" w:hAnsiTheme="minorHAnsi" w:cstheme="minorHAnsi"/>
          <w:color w:val="1F497D"/>
          <w:sz w:val="24"/>
          <w:szCs w:val="24"/>
          <w:lang w:val="en-GB"/>
        </w:rPr>
      </w:pPr>
    </w:p>
    <w:p w14:paraId="693C2E79" w14:textId="77777777" w:rsidR="00C74534" w:rsidRDefault="00C74534" w:rsidP="00C74534">
      <w:pPr>
        <w:jc w:val="center"/>
        <w:rPr>
          <w:rFonts w:asciiTheme="minorHAnsi" w:hAnsiTheme="minorHAnsi"/>
          <w:b/>
          <w:sz w:val="32"/>
          <w:szCs w:val="28"/>
        </w:rPr>
      </w:pPr>
      <w:r>
        <w:rPr>
          <w:rFonts w:asciiTheme="minorHAnsi" w:hAnsiTheme="minorHAnsi"/>
          <w:b/>
          <w:sz w:val="32"/>
          <w:szCs w:val="28"/>
        </w:rPr>
        <w:t xml:space="preserve">Investing in primary health care pays off </w:t>
      </w:r>
    </w:p>
    <w:p w14:paraId="44CFBD1C" w14:textId="77777777" w:rsidR="00C74534" w:rsidRDefault="00C74534" w:rsidP="00C74534">
      <w:pPr>
        <w:jc w:val="center"/>
        <w:rPr>
          <w:rFonts w:asciiTheme="minorHAnsi" w:hAnsiTheme="minorHAnsi"/>
          <w:b/>
          <w:sz w:val="26"/>
          <w:szCs w:val="26"/>
        </w:rPr>
      </w:pPr>
      <w:r>
        <w:rPr>
          <w:rFonts w:asciiTheme="minorHAnsi" w:hAnsiTheme="minorHAnsi"/>
          <w:b/>
          <w:sz w:val="26"/>
          <w:szCs w:val="26"/>
        </w:rPr>
        <w:t>WHO calls on European governments to bring health services closer to people</w:t>
      </w:r>
    </w:p>
    <w:p w14:paraId="7096BD40" w14:textId="77777777" w:rsidR="00C74534" w:rsidRDefault="00C74534" w:rsidP="00C74534">
      <w:pPr>
        <w:rPr>
          <w:rFonts w:asciiTheme="minorHAnsi" w:hAnsiTheme="minorHAnsi"/>
          <w:b/>
          <w:sz w:val="24"/>
          <w:szCs w:val="24"/>
        </w:rPr>
      </w:pPr>
    </w:p>
    <w:p w14:paraId="61E73789" w14:textId="77777777" w:rsidR="00C74534" w:rsidRDefault="00C74534" w:rsidP="00C74534">
      <w:pPr>
        <w:rPr>
          <w:rFonts w:asciiTheme="minorHAnsi" w:hAnsiTheme="minorHAnsi"/>
        </w:rPr>
      </w:pPr>
      <w:r>
        <w:rPr>
          <w:rFonts w:asciiTheme="minorHAnsi" w:hAnsiTheme="minorHAnsi"/>
          <w:b/>
        </w:rPr>
        <w:t>5 April 2019</w:t>
      </w:r>
      <w:r>
        <w:rPr>
          <w:rFonts w:asciiTheme="minorHAnsi" w:hAnsiTheme="minorHAnsi"/>
        </w:rPr>
        <w:t xml:space="preserve"> | </w:t>
      </w:r>
      <w:r>
        <w:rPr>
          <w:rFonts w:asciiTheme="minorHAnsi" w:hAnsiTheme="minorHAnsi"/>
          <w:b/>
          <w:i/>
        </w:rPr>
        <w:t>[city name]</w:t>
      </w:r>
      <w:r>
        <w:rPr>
          <w:rFonts w:asciiTheme="minorHAnsi" w:hAnsiTheme="minorHAnsi"/>
          <w:i/>
        </w:rPr>
        <w:t xml:space="preserve"> </w:t>
      </w:r>
      <w:r>
        <w:rPr>
          <w:rFonts w:asciiTheme="minorHAnsi" w:hAnsiTheme="minorHAnsi"/>
        </w:rPr>
        <w:t>— On World Health Day 2019, WHO calls on European leaders to invest in primary health care as the smartest step towards universal health coverage.</w:t>
      </w:r>
    </w:p>
    <w:p w14:paraId="7E4A6333" w14:textId="77777777" w:rsidR="00C74534" w:rsidRDefault="00C74534" w:rsidP="00C74534">
      <w:pPr>
        <w:rPr>
          <w:rFonts w:asciiTheme="minorHAnsi" w:hAnsiTheme="minorHAnsi"/>
        </w:rPr>
      </w:pPr>
    </w:p>
    <w:p w14:paraId="06CC92F8" w14:textId="77777777" w:rsidR="00C74534" w:rsidRDefault="00C74534" w:rsidP="00C74534">
      <w:pPr>
        <w:rPr>
          <w:rFonts w:asciiTheme="minorHAnsi" w:hAnsiTheme="minorHAnsi"/>
        </w:rPr>
      </w:pPr>
      <w:r>
        <w:rPr>
          <w:rFonts w:asciiTheme="minorHAnsi" w:hAnsiTheme="minorHAnsi"/>
        </w:rPr>
        <w:t>Between 70 and 80% of people’s health needs throughout their lifetime can be met with strong primary health care, from health promotion to disease prevention through vaccination, treatment and management of long-term health conditions, rehabilitation, palliative care and medicines.</w:t>
      </w:r>
    </w:p>
    <w:p w14:paraId="712ED5E2" w14:textId="77777777" w:rsidR="00C74534" w:rsidRDefault="00C74534" w:rsidP="00C74534">
      <w:pPr>
        <w:rPr>
          <w:rFonts w:asciiTheme="minorHAnsi" w:hAnsiTheme="minorHAnsi"/>
        </w:rPr>
      </w:pPr>
    </w:p>
    <w:p w14:paraId="2CD03C3C" w14:textId="77777777" w:rsidR="00C74534" w:rsidRDefault="00C74534" w:rsidP="00C74534">
      <w:pPr>
        <w:rPr>
          <w:rFonts w:asciiTheme="minorHAnsi" w:hAnsiTheme="minorHAnsi"/>
        </w:rPr>
      </w:pPr>
      <w:r>
        <w:rPr>
          <w:rFonts w:asciiTheme="minorHAnsi" w:hAnsiTheme="minorHAnsi"/>
        </w:rPr>
        <w:t xml:space="preserve">“Health is a human right. We can do much more to improve access to health services for the most vulnerable. Ensuring everyone can use the health services they need, when they need them, without experiencing financial hardship, is one of the Sustainable Development Goals countries have committed to reach by 2030. It is also WHO’s top goal and primary health care is at the heart of it,” says Dr Piroska </w:t>
      </w:r>
      <w:r>
        <w:rPr>
          <w:rFonts w:asciiTheme="minorHAnsi" w:hAnsiTheme="minorHAnsi" w:cstheme="minorHAnsi"/>
        </w:rPr>
        <w:t>Ö</w:t>
      </w:r>
      <w:r>
        <w:rPr>
          <w:rFonts w:asciiTheme="minorHAnsi" w:hAnsiTheme="minorHAnsi"/>
        </w:rPr>
        <w:t xml:space="preserve">stlin, Acting WHO Regional Director for Europe. </w:t>
      </w:r>
    </w:p>
    <w:p w14:paraId="4BA38A76" w14:textId="77777777" w:rsidR="00C74534" w:rsidRDefault="00C74534" w:rsidP="00C74534">
      <w:pPr>
        <w:rPr>
          <w:rFonts w:asciiTheme="minorHAnsi" w:hAnsiTheme="minorHAnsi"/>
        </w:rPr>
      </w:pPr>
    </w:p>
    <w:p w14:paraId="5C03A157" w14:textId="77777777" w:rsidR="00C74534" w:rsidRDefault="00C74534" w:rsidP="00C74534">
      <w:pPr>
        <w:rPr>
          <w:rFonts w:asciiTheme="minorHAnsi" w:hAnsiTheme="minorHAnsi"/>
          <w:b/>
        </w:rPr>
      </w:pPr>
      <w:r>
        <w:rPr>
          <w:rFonts w:asciiTheme="minorHAnsi" w:hAnsiTheme="minorHAnsi"/>
          <w:b/>
        </w:rPr>
        <w:t>To leave no one behind, strengthen primary health care</w:t>
      </w:r>
    </w:p>
    <w:p w14:paraId="12516398" w14:textId="77777777" w:rsidR="00C74534" w:rsidRDefault="00C74534" w:rsidP="00C74534">
      <w:pPr>
        <w:rPr>
          <w:rFonts w:asciiTheme="minorHAnsi" w:hAnsiTheme="minorHAnsi"/>
        </w:rPr>
      </w:pPr>
      <w:r>
        <w:rPr>
          <w:rFonts w:asciiTheme="minorHAnsi" w:hAnsiTheme="minorHAnsi"/>
        </w:rPr>
        <w:t>Countries in the WHO European Region have made progress towards universal health coverage, but many people still lack access to quality, affordable and inclusive health services. In [</w:t>
      </w:r>
      <w:r>
        <w:rPr>
          <w:rFonts w:asciiTheme="minorHAnsi" w:hAnsiTheme="minorHAnsi"/>
          <w:highlight w:val="yellow"/>
        </w:rPr>
        <w:t>COUNTRY NAME</w:t>
      </w:r>
      <w:r>
        <w:rPr>
          <w:rFonts w:asciiTheme="minorHAnsi" w:hAnsiTheme="minorHAnsi"/>
        </w:rPr>
        <w:t>], groups who are either unable to get the services they need or are at risk of experiencing financial hardship because of out-of-pocket payments include [</w:t>
      </w:r>
      <w:r>
        <w:rPr>
          <w:rFonts w:asciiTheme="minorHAnsi" w:hAnsiTheme="minorHAnsi"/>
          <w:highlight w:val="yellow"/>
        </w:rPr>
        <w:t>PICK UP RELEVANT ONES</w:t>
      </w:r>
      <w:r>
        <w:rPr>
          <w:rFonts w:asciiTheme="minorHAnsi" w:hAnsiTheme="minorHAnsi"/>
        </w:rPr>
        <w:t>] poorer households, older people, men who underuse health services, refugees, migrant workers and homeless people.</w:t>
      </w:r>
    </w:p>
    <w:p w14:paraId="576681A7" w14:textId="77777777" w:rsidR="00C74534" w:rsidRDefault="00C74534" w:rsidP="00C74534">
      <w:pPr>
        <w:rPr>
          <w:rFonts w:asciiTheme="minorHAnsi" w:hAnsiTheme="minorHAnsi"/>
        </w:rPr>
      </w:pPr>
    </w:p>
    <w:p w14:paraId="1288CFCB" w14:textId="4A3FD70F" w:rsidR="00C74534" w:rsidRDefault="00C74534" w:rsidP="00C74534">
      <w:pPr>
        <w:rPr>
          <w:rFonts w:asciiTheme="minorHAnsi" w:hAnsiTheme="minorHAnsi"/>
        </w:rPr>
      </w:pPr>
      <w:r>
        <w:rPr>
          <w:rFonts w:asciiTheme="minorHAnsi" w:hAnsiTheme="minorHAnsi"/>
        </w:rPr>
        <w:t>Doctors,</w:t>
      </w:r>
      <w:r w:rsidR="001B0EF4">
        <w:rPr>
          <w:rFonts w:asciiTheme="minorHAnsi" w:hAnsiTheme="minorHAnsi"/>
        </w:rPr>
        <w:t xml:space="preserve"> nurses and midwives work closely with</w:t>
      </w:r>
      <w:r>
        <w:rPr>
          <w:rFonts w:asciiTheme="minorHAnsi" w:hAnsiTheme="minorHAnsi"/>
        </w:rPr>
        <w:t xml:space="preserve"> people and can reach these groups to deliver health for all.</w:t>
      </w:r>
    </w:p>
    <w:p w14:paraId="25985658" w14:textId="77777777" w:rsidR="00C74534" w:rsidRDefault="00C74534" w:rsidP="00C74534">
      <w:pPr>
        <w:rPr>
          <w:rFonts w:asciiTheme="minorHAnsi" w:hAnsiTheme="minorHAnsi"/>
        </w:rPr>
      </w:pPr>
    </w:p>
    <w:p w14:paraId="60353F44" w14:textId="68C1AD51" w:rsidR="00C74534" w:rsidRDefault="00C74534" w:rsidP="00C74534">
      <w:pPr>
        <w:rPr>
          <w:rFonts w:asciiTheme="minorHAnsi" w:hAnsiTheme="minorHAnsi"/>
        </w:rPr>
      </w:pPr>
      <w:r>
        <w:rPr>
          <w:rFonts w:asciiTheme="minorHAnsi" w:hAnsiTheme="minorHAnsi"/>
        </w:rPr>
        <w:t xml:space="preserve">“To ensure everyone gets most </w:t>
      </w:r>
      <w:r w:rsidR="005021D3">
        <w:rPr>
          <w:rFonts w:asciiTheme="minorHAnsi" w:hAnsiTheme="minorHAnsi"/>
        </w:rPr>
        <w:t xml:space="preserve">of their </w:t>
      </w:r>
      <w:r>
        <w:rPr>
          <w:rFonts w:asciiTheme="minorHAnsi" w:hAnsiTheme="minorHAnsi"/>
        </w:rPr>
        <w:t>health services as close as possible to where they live, we must strengthen primary health care, which we know is the most cost-effective path towards universal health coverage,” said [</w:t>
      </w:r>
      <w:r>
        <w:rPr>
          <w:rFonts w:asciiTheme="minorHAnsi" w:hAnsiTheme="minorHAnsi"/>
          <w:highlight w:val="yellow"/>
        </w:rPr>
        <w:t>XXXX, WHO Representative in XXX OR MOH representative, whichever works best</w:t>
      </w:r>
      <w:r>
        <w:rPr>
          <w:rFonts w:asciiTheme="minorHAnsi" w:hAnsiTheme="minorHAnsi"/>
        </w:rPr>
        <w:t xml:space="preserve">]. “Strong and free primary health care can bring services closer to our homes, intervene earlier to prevent illnesses from becoming serious, provide timely response to </w:t>
      </w:r>
      <w:r w:rsidR="005021D3">
        <w:rPr>
          <w:rFonts w:asciiTheme="minorHAnsi" w:hAnsiTheme="minorHAnsi"/>
        </w:rPr>
        <w:t>address</w:t>
      </w:r>
      <w:r>
        <w:rPr>
          <w:rFonts w:asciiTheme="minorHAnsi" w:hAnsiTheme="minorHAnsi"/>
        </w:rPr>
        <w:t xml:space="preserve"> chronic conditions, take care of us throughout our </w:t>
      </w:r>
      <w:r w:rsidR="005021D3">
        <w:rPr>
          <w:rFonts w:asciiTheme="minorHAnsi" w:hAnsiTheme="minorHAnsi"/>
        </w:rPr>
        <w:t>lives</w:t>
      </w:r>
      <w:r>
        <w:rPr>
          <w:rFonts w:asciiTheme="minorHAnsi" w:hAnsiTheme="minorHAnsi"/>
        </w:rPr>
        <w:t xml:space="preserve"> and reach those that need health services most.”</w:t>
      </w:r>
    </w:p>
    <w:p w14:paraId="75C8F09C" w14:textId="77777777" w:rsidR="00C74534" w:rsidRDefault="00C74534" w:rsidP="00C74534">
      <w:pPr>
        <w:rPr>
          <w:rFonts w:asciiTheme="minorHAnsi" w:hAnsiTheme="minorHAnsi"/>
        </w:rPr>
      </w:pPr>
    </w:p>
    <w:p w14:paraId="38C399DE" w14:textId="77777777" w:rsidR="00C74534" w:rsidRDefault="00C74534" w:rsidP="00C74534">
      <w:pPr>
        <w:rPr>
          <w:rFonts w:asciiTheme="minorHAnsi" w:hAnsiTheme="minorHAnsi"/>
          <w:b/>
        </w:rPr>
      </w:pPr>
      <w:r>
        <w:rPr>
          <w:rFonts w:asciiTheme="minorHAnsi" w:hAnsiTheme="minorHAnsi"/>
          <w:b/>
        </w:rPr>
        <w:t>Out-of-pocket payments undermine access to health services</w:t>
      </w:r>
    </w:p>
    <w:p w14:paraId="42F2A39A" w14:textId="77777777" w:rsidR="00C74534" w:rsidRDefault="00C74534" w:rsidP="00C74534">
      <w:pPr>
        <w:rPr>
          <w:rFonts w:asciiTheme="minorHAnsi" w:hAnsiTheme="minorHAnsi"/>
        </w:rPr>
      </w:pPr>
      <w:r>
        <w:rPr>
          <w:rFonts w:asciiTheme="minorHAnsi" w:hAnsiTheme="minorHAnsi"/>
        </w:rPr>
        <w:t xml:space="preserve">New evidence from WHO Europe shows that payments for health services, particularly for medicines, are unaffordable for many people and can cause financial hardship across the European Region, including in high-income countries. Analysis of data </w:t>
      </w:r>
      <w:commentRangeStart w:id="1"/>
      <w:r>
        <w:rPr>
          <w:rFonts w:asciiTheme="minorHAnsi" w:hAnsiTheme="minorHAnsi"/>
        </w:rPr>
        <w:t xml:space="preserve">from 24 countries </w:t>
      </w:r>
      <w:commentRangeEnd w:id="1"/>
      <w:r>
        <w:rPr>
          <w:rStyle w:val="CommentReference"/>
          <w:rFonts w:ascii="Times New Roman" w:hAnsi="Times New Roman"/>
          <w:lang w:val="en-GB"/>
        </w:rPr>
        <w:commentReference w:id="1"/>
      </w:r>
      <w:r>
        <w:rPr>
          <w:rFonts w:asciiTheme="minorHAnsi" w:hAnsiTheme="minorHAnsi"/>
        </w:rPr>
        <w:t>shows that up to 9% of households cannot afford to pay for basic needs such as food, rent or utility bills after paying out of pocket for health services.</w:t>
      </w:r>
    </w:p>
    <w:p w14:paraId="717B2F7F" w14:textId="77777777" w:rsidR="00C74534" w:rsidRDefault="00C74534" w:rsidP="00C74534">
      <w:pPr>
        <w:rPr>
          <w:rFonts w:asciiTheme="minorHAnsi" w:hAnsiTheme="minorHAnsi"/>
        </w:rPr>
      </w:pPr>
      <w:r>
        <w:rPr>
          <w:rFonts w:asciiTheme="minorHAnsi" w:hAnsiTheme="minorHAnsi"/>
        </w:rPr>
        <w:lastRenderedPageBreak/>
        <w:br/>
        <w:t>The poorest households, people with chronic conditions and older people are most likely to experience financial hardship due to out-of-pocket payments for health care and are often unable to obtain many of the health services they need.</w:t>
      </w:r>
    </w:p>
    <w:p w14:paraId="1DDA1233" w14:textId="77777777" w:rsidR="00C74534" w:rsidRDefault="00C74534" w:rsidP="00C74534">
      <w:pPr>
        <w:rPr>
          <w:rFonts w:asciiTheme="minorHAnsi" w:hAnsiTheme="minorHAnsi"/>
        </w:rPr>
      </w:pPr>
    </w:p>
    <w:p w14:paraId="51F8FA21" w14:textId="77777777" w:rsidR="00C74534" w:rsidRDefault="00C74534" w:rsidP="00C74534">
      <w:pPr>
        <w:rPr>
          <w:rFonts w:asciiTheme="minorHAnsi" w:hAnsiTheme="minorHAnsi"/>
        </w:rPr>
      </w:pPr>
      <w:r>
        <w:rPr>
          <w:rFonts w:asciiTheme="minorHAnsi" w:hAnsiTheme="minorHAnsi"/>
        </w:rPr>
        <w:t>Countries can put in place policies to minimize out-of-pocket payments, particularly for poor people and regular users of health services. Primary health care has a vital role to play in securing access to health services for these groups.</w:t>
      </w:r>
    </w:p>
    <w:p w14:paraId="57A0A864" w14:textId="77777777" w:rsidR="00C74534" w:rsidRDefault="00C74534" w:rsidP="00C74534">
      <w:pPr>
        <w:rPr>
          <w:rFonts w:asciiTheme="minorHAnsi" w:hAnsiTheme="minorHAnsi"/>
        </w:rPr>
      </w:pPr>
    </w:p>
    <w:p w14:paraId="4968ED74" w14:textId="77777777" w:rsidR="00C74534" w:rsidRDefault="00C74534" w:rsidP="00C74534">
      <w:pPr>
        <w:rPr>
          <w:rFonts w:asciiTheme="minorHAnsi" w:hAnsiTheme="minorHAnsi"/>
        </w:rPr>
      </w:pPr>
      <w:r>
        <w:rPr>
          <w:rFonts w:asciiTheme="minorHAnsi" w:hAnsiTheme="minorHAnsi"/>
          <w:highlight w:val="yellow"/>
        </w:rPr>
        <w:t>In [COUNTRY NAME], [INSERT DATA AND DESCRIBE THE PROBLEM AND THE MEASURES.</w:t>
      </w:r>
      <w:r>
        <w:rPr>
          <w:rFonts w:asciiTheme="minorHAnsi" w:hAnsiTheme="minorHAnsi"/>
        </w:rPr>
        <w:t>]</w:t>
      </w:r>
    </w:p>
    <w:p w14:paraId="596A4EE9" w14:textId="77777777" w:rsidR="00C74534" w:rsidRDefault="00C74534" w:rsidP="00C74534">
      <w:pPr>
        <w:rPr>
          <w:rFonts w:asciiTheme="minorHAnsi" w:hAnsiTheme="minorHAnsi"/>
        </w:rPr>
      </w:pPr>
    </w:p>
    <w:p w14:paraId="5E621D54" w14:textId="77777777" w:rsidR="00C74534" w:rsidRDefault="00C74534" w:rsidP="00C74534">
      <w:pPr>
        <w:rPr>
          <w:rFonts w:asciiTheme="minorHAnsi" w:hAnsiTheme="minorHAnsi"/>
        </w:rPr>
      </w:pPr>
      <w:r>
        <w:rPr>
          <w:rFonts w:asciiTheme="minorHAnsi" w:hAnsiTheme="minorHAnsi"/>
          <w:highlight w:val="yellow"/>
        </w:rPr>
        <w:t>[END QUOTE FROM WR OR FROM MOH (WHICHEVER WORKS BEST) ON WHAT IS BEING DONE IN THE COUNTRY FOR UHC. Example: “We are working closely with the government to [XXX]…We still have a lot to do and must strengthen primary health care for inclusive health services that leave no one behind.”]</w:t>
      </w:r>
    </w:p>
    <w:p w14:paraId="750C13CD" w14:textId="77777777" w:rsidR="00C74534" w:rsidRDefault="00C74534" w:rsidP="00C74534">
      <w:pPr>
        <w:rPr>
          <w:rFonts w:asciiTheme="minorHAnsi" w:hAnsiTheme="minorHAnsi"/>
        </w:rPr>
      </w:pPr>
    </w:p>
    <w:p w14:paraId="5B090F23" w14:textId="77777777" w:rsidR="009F0A2A" w:rsidRPr="0095193E" w:rsidRDefault="009F0A2A" w:rsidP="00630E6F">
      <w:pPr>
        <w:jc w:val="both"/>
        <w:rPr>
          <w:rFonts w:eastAsia="Times New Roman"/>
          <w:color w:val="333333"/>
          <w:sz w:val="24"/>
          <w:szCs w:val="24"/>
          <w:shd w:val="clear" w:color="auto" w:fill="FFFFFF"/>
          <w:lang w:val="en-GB"/>
        </w:rPr>
      </w:pPr>
    </w:p>
    <w:p w14:paraId="7AC82004" w14:textId="77777777" w:rsidR="008B17FC" w:rsidRPr="0095193E" w:rsidRDefault="00B734EB" w:rsidP="00630E6F">
      <w:pPr>
        <w:autoSpaceDE w:val="0"/>
        <w:autoSpaceDN w:val="0"/>
        <w:adjustRightInd w:val="0"/>
        <w:jc w:val="both"/>
        <w:rPr>
          <w:szCs w:val="24"/>
          <w:lang w:val="en-GB"/>
        </w:rPr>
      </w:pPr>
      <w:r w:rsidRPr="0095193E">
        <w:rPr>
          <w:rFonts w:ascii="Arial" w:eastAsia="Times New Roman" w:hAnsi="Arial" w:cs="Arial"/>
          <w:b/>
          <w:sz w:val="28"/>
          <w:szCs w:val="28"/>
          <w:lang w:val="en-GB" w:eastAsia="en-GB"/>
        </w:rPr>
        <w:t>For further information, contact:</w:t>
      </w:r>
      <w:r w:rsidRPr="0095193E">
        <w:rPr>
          <w:szCs w:val="24"/>
          <w:lang w:val="en-GB"/>
        </w:rPr>
        <w:t xml:space="preserve"> </w:t>
      </w:r>
    </w:p>
    <w:p w14:paraId="6A8123ED" w14:textId="77777777" w:rsidR="00D4444E" w:rsidRPr="0095193E" w:rsidRDefault="00D4444E" w:rsidP="00630E6F">
      <w:pPr>
        <w:autoSpaceDE w:val="0"/>
        <w:autoSpaceDN w:val="0"/>
        <w:adjustRightInd w:val="0"/>
        <w:jc w:val="both"/>
        <w:rPr>
          <w:rFonts w:asciiTheme="minorHAnsi" w:hAnsiTheme="minorHAnsi" w:cstheme="minorHAnsi"/>
          <w:sz w:val="24"/>
          <w:szCs w:val="24"/>
          <w:lang w:val="en-GB"/>
        </w:rPr>
      </w:pPr>
    </w:p>
    <w:tbl>
      <w:tblPr>
        <w:tblStyle w:val="TableGrid"/>
        <w:tblW w:w="0" w:type="auto"/>
        <w:tblLook w:val="04A0" w:firstRow="1" w:lastRow="0" w:firstColumn="1" w:lastColumn="0" w:noHBand="0" w:noVBand="1"/>
      </w:tblPr>
      <w:tblGrid>
        <w:gridCol w:w="4788"/>
        <w:gridCol w:w="4788"/>
      </w:tblGrid>
      <w:tr w:rsidR="00594098" w:rsidRPr="00097CFA" w14:paraId="0334706D" w14:textId="77777777" w:rsidTr="00594098">
        <w:tc>
          <w:tcPr>
            <w:tcW w:w="4788" w:type="dxa"/>
            <w:hideMark/>
          </w:tcPr>
          <w:p w14:paraId="774C1948" w14:textId="717BD46D" w:rsidR="003D6031" w:rsidRPr="00C74534" w:rsidRDefault="00C74534" w:rsidP="006C57CB">
            <w:pPr>
              <w:spacing w:after="240"/>
              <w:rPr>
                <w:color w:val="1F497D"/>
                <w:highlight w:val="yellow"/>
                <w:lang w:val="en-GB"/>
              </w:rPr>
            </w:pPr>
            <w:r w:rsidRPr="00C74534">
              <w:rPr>
                <w:highlight w:val="yellow"/>
                <w:lang w:val="en-GB"/>
              </w:rPr>
              <w:t xml:space="preserve">CONTACT PERSON </w:t>
            </w:r>
          </w:p>
        </w:tc>
        <w:tc>
          <w:tcPr>
            <w:tcW w:w="4788" w:type="dxa"/>
            <w:hideMark/>
          </w:tcPr>
          <w:p w14:paraId="407C7F82" w14:textId="77F768A6" w:rsidR="00594098" w:rsidRPr="00C74534" w:rsidRDefault="00594098" w:rsidP="00630E6F">
            <w:pPr>
              <w:spacing w:before="60"/>
              <w:jc w:val="both"/>
              <w:rPr>
                <w:rFonts w:eastAsia="Calibri"/>
                <w:highlight w:val="yellow"/>
                <w:lang w:val="fr-CH"/>
              </w:rPr>
            </w:pPr>
            <w:r w:rsidRPr="00C74534">
              <w:rPr>
                <w:highlight w:val="yellow"/>
                <w:lang w:val="fr-CH"/>
              </w:rPr>
              <w:t xml:space="preserve"> </w:t>
            </w:r>
            <w:r w:rsidR="00C74534" w:rsidRPr="00C74534">
              <w:rPr>
                <w:highlight w:val="yellow"/>
                <w:lang w:val="fr-CH"/>
              </w:rPr>
              <w:t>CONTACT PERSON</w:t>
            </w:r>
          </w:p>
        </w:tc>
      </w:tr>
    </w:tbl>
    <w:p w14:paraId="0DC9C30B" w14:textId="77777777" w:rsidR="00E86B58" w:rsidRPr="001130F4" w:rsidRDefault="00E86B58" w:rsidP="00C6219E">
      <w:pPr>
        <w:spacing w:before="480" w:after="240"/>
        <w:jc w:val="both"/>
        <w:rPr>
          <w:szCs w:val="24"/>
          <w:lang w:val="fr-CH"/>
        </w:rPr>
      </w:pPr>
    </w:p>
    <w:sectPr w:rsidR="00E86B58" w:rsidRPr="001130F4">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IPANJIGULY, Sampreethi" w:date="2019-03-22T14:31:00Z" w:initials="AS">
    <w:p w14:paraId="62027E30" w14:textId="77777777" w:rsidR="00C74534" w:rsidRDefault="00C74534" w:rsidP="00C74534">
      <w:pPr>
        <w:pStyle w:val="CommentText"/>
        <w:rPr>
          <w:rFonts w:ascii="Times New Roman" w:hAnsi="Times New Roman"/>
        </w:rPr>
      </w:pPr>
      <w:r>
        <w:rPr>
          <w:rStyle w:val="CommentReference"/>
        </w:rPr>
        <w:annotationRef/>
      </w:r>
      <w:r>
        <w:t xml:space="preserve">Replace with country data if available: </w:t>
      </w:r>
      <w:hyperlink r:id="rId1" w:history="1">
        <w:r>
          <w:rPr>
            <w:rStyle w:val="Hyperlink"/>
          </w:rPr>
          <w:t>http://www.euro.who.int/en/health-topics/Health-systems/health-systems-financing/publications/clusters/universal-health-coverage-financial-protection/universal-health-coverage-financial-protection-country-reviews</w:t>
        </w:r>
      </w:hyperlink>
      <w:r>
        <w:t xml:space="preserve"> </w:t>
      </w:r>
    </w:p>
    <w:p w14:paraId="14AFDA45" w14:textId="77777777" w:rsidR="00C74534" w:rsidRDefault="00C74534" w:rsidP="00C74534">
      <w:pPr>
        <w:pStyle w:val="CommentText"/>
      </w:pPr>
      <w:r>
        <w:t>The 24 countries in this study are: Albania, Austria, Croatia, Cyprus, Czechia, Estonia, France, Georgia, Germany, Greece, Hungary, Ireland, Kyrgyzstan, Latvia, Lithuania, Poland, Portugal, Republic of Moldova, Slovakia, Slovenia, Sweden, Turkey, Ukraine and the United Kingdom.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AFDA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AFDA45" w16cid:durableId="204C9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86B74" w14:textId="77777777" w:rsidR="001471AF" w:rsidRDefault="001471AF" w:rsidP="00E80C0F">
      <w:r>
        <w:separator/>
      </w:r>
    </w:p>
  </w:endnote>
  <w:endnote w:type="continuationSeparator" w:id="0">
    <w:p w14:paraId="484C4570" w14:textId="77777777" w:rsidR="001471AF" w:rsidRDefault="001471AF" w:rsidP="00E8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937820"/>
      <w:docPartObj>
        <w:docPartGallery w:val="Page Numbers (Bottom of Page)"/>
        <w:docPartUnique/>
      </w:docPartObj>
    </w:sdtPr>
    <w:sdtEndPr>
      <w:rPr>
        <w:noProof/>
      </w:rPr>
    </w:sdtEndPr>
    <w:sdtContent>
      <w:p w14:paraId="4BEF5ABF" w14:textId="61CAEBFE" w:rsidR="00FE4983" w:rsidRDefault="00FE4983">
        <w:pPr>
          <w:pStyle w:val="Footer"/>
        </w:pPr>
        <w:r>
          <w:fldChar w:fldCharType="begin"/>
        </w:r>
        <w:r>
          <w:instrText xml:space="preserve"> PAGE   \* MERGEFORMAT </w:instrText>
        </w:r>
        <w:r>
          <w:fldChar w:fldCharType="separate"/>
        </w:r>
        <w:r w:rsidR="005236D5">
          <w:rPr>
            <w:noProof/>
          </w:rPr>
          <w:t>1</w:t>
        </w:r>
        <w:r>
          <w:rPr>
            <w:noProof/>
          </w:rPr>
          <w:fldChar w:fldCharType="end"/>
        </w:r>
      </w:p>
    </w:sdtContent>
  </w:sdt>
  <w:p w14:paraId="387937D1" w14:textId="77777777" w:rsidR="00FE4983" w:rsidRDefault="00FE4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EA466" w14:textId="77777777" w:rsidR="001471AF" w:rsidRDefault="001471AF" w:rsidP="00E80C0F">
      <w:r>
        <w:separator/>
      </w:r>
    </w:p>
  </w:footnote>
  <w:footnote w:type="continuationSeparator" w:id="0">
    <w:p w14:paraId="44D47075" w14:textId="77777777" w:rsidR="001471AF" w:rsidRDefault="001471AF" w:rsidP="00E80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5772"/>
    <w:multiLevelType w:val="hybridMultilevel"/>
    <w:tmpl w:val="0DD0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72CF4"/>
    <w:multiLevelType w:val="hybridMultilevel"/>
    <w:tmpl w:val="5B2ACD56"/>
    <w:lvl w:ilvl="0" w:tplc="885A7AA6">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83201"/>
    <w:multiLevelType w:val="hybridMultilevel"/>
    <w:tmpl w:val="4AECD8A0"/>
    <w:lvl w:ilvl="0" w:tplc="D414BDAE">
      <w:start w:val="1"/>
      <w:numFmt w:val="decimal"/>
      <w:lvlText w:val="%1."/>
      <w:lvlJc w:val="left"/>
      <w:pPr>
        <w:ind w:left="720" w:hanging="36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409BF"/>
    <w:multiLevelType w:val="hybridMultilevel"/>
    <w:tmpl w:val="412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E2E9D"/>
    <w:multiLevelType w:val="hybridMultilevel"/>
    <w:tmpl w:val="1038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410A8"/>
    <w:multiLevelType w:val="hybridMultilevel"/>
    <w:tmpl w:val="56CA1E4A"/>
    <w:lvl w:ilvl="0" w:tplc="6128948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8E7914"/>
    <w:multiLevelType w:val="hybridMultilevel"/>
    <w:tmpl w:val="9946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364F9"/>
    <w:multiLevelType w:val="hybridMultilevel"/>
    <w:tmpl w:val="FD2E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4"/>
  </w:num>
  <w:num w:numId="6">
    <w:abstractNumId w:val="0"/>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PANJIGULY, Sampreethi">
    <w15:presenceInfo w15:providerId="AD" w15:userId="S-1-5-21-1446143339-2250552318-1255726049-202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91"/>
    <w:rsid w:val="00000F83"/>
    <w:rsid w:val="000043AA"/>
    <w:rsid w:val="00010CAE"/>
    <w:rsid w:val="00016135"/>
    <w:rsid w:val="00016F6C"/>
    <w:rsid w:val="00022ACF"/>
    <w:rsid w:val="00027EDF"/>
    <w:rsid w:val="00031674"/>
    <w:rsid w:val="00037BF3"/>
    <w:rsid w:val="000413A7"/>
    <w:rsid w:val="000668D1"/>
    <w:rsid w:val="00066C0D"/>
    <w:rsid w:val="00075E42"/>
    <w:rsid w:val="00077BB6"/>
    <w:rsid w:val="00090DC8"/>
    <w:rsid w:val="00095C57"/>
    <w:rsid w:val="00097CFA"/>
    <w:rsid w:val="000B15BC"/>
    <w:rsid w:val="000C70A0"/>
    <w:rsid w:val="000D0284"/>
    <w:rsid w:val="000D1895"/>
    <w:rsid w:val="000D3339"/>
    <w:rsid w:val="000D5430"/>
    <w:rsid w:val="000E12A3"/>
    <w:rsid w:val="000E46A6"/>
    <w:rsid w:val="000E52DA"/>
    <w:rsid w:val="00101EDC"/>
    <w:rsid w:val="0010687C"/>
    <w:rsid w:val="001130F4"/>
    <w:rsid w:val="0011343B"/>
    <w:rsid w:val="0011456C"/>
    <w:rsid w:val="0012197A"/>
    <w:rsid w:val="00126C79"/>
    <w:rsid w:val="00131356"/>
    <w:rsid w:val="001319CD"/>
    <w:rsid w:val="00133582"/>
    <w:rsid w:val="00135EEF"/>
    <w:rsid w:val="0014092B"/>
    <w:rsid w:val="001471AF"/>
    <w:rsid w:val="00150A95"/>
    <w:rsid w:val="0015500B"/>
    <w:rsid w:val="00156D60"/>
    <w:rsid w:val="001721A8"/>
    <w:rsid w:val="00175180"/>
    <w:rsid w:val="001B0EF4"/>
    <w:rsid w:val="001B609C"/>
    <w:rsid w:val="001C1BAC"/>
    <w:rsid w:val="001C1CC1"/>
    <w:rsid w:val="001C7022"/>
    <w:rsid w:val="001E2421"/>
    <w:rsid w:val="001E3B2B"/>
    <w:rsid w:val="001E5DDB"/>
    <w:rsid w:val="00200279"/>
    <w:rsid w:val="00206F43"/>
    <w:rsid w:val="00213946"/>
    <w:rsid w:val="002236DC"/>
    <w:rsid w:val="00226B61"/>
    <w:rsid w:val="00230E97"/>
    <w:rsid w:val="00234F33"/>
    <w:rsid w:val="00234F67"/>
    <w:rsid w:val="0024205B"/>
    <w:rsid w:val="00253B8E"/>
    <w:rsid w:val="00253BB8"/>
    <w:rsid w:val="00257636"/>
    <w:rsid w:val="0026298A"/>
    <w:rsid w:val="00266487"/>
    <w:rsid w:val="00283DE4"/>
    <w:rsid w:val="002853AA"/>
    <w:rsid w:val="00290BC9"/>
    <w:rsid w:val="00294E8A"/>
    <w:rsid w:val="002957A5"/>
    <w:rsid w:val="002A3B80"/>
    <w:rsid w:val="002A6545"/>
    <w:rsid w:val="002A67D0"/>
    <w:rsid w:val="002A76E2"/>
    <w:rsid w:val="002B0B53"/>
    <w:rsid w:val="002B0D6A"/>
    <w:rsid w:val="002C1DE1"/>
    <w:rsid w:val="002D1628"/>
    <w:rsid w:val="002D1C63"/>
    <w:rsid w:val="002D398D"/>
    <w:rsid w:val="002D68C4"/>
    <w:rsid w:val="002E16EB"/>
    <w:rsid w:val="002F1AE3"/>
    <w:rsid w:val="002F1D78"/>
    <w:rsid w:val="002F2CD9"/>
    <w:rsid w:val="003141A5"/>
    <w:rsid w:val="00320E43"/>
    <w:rsid w:val="00321CCF"/>
    <w:rsid w:val="003226A8"/>
    <w:rsid w:val="00322AD7"/>
    <w:rsid w:val="0032380E"/>
    <w:rsid w:val="003306BC"/>
    <w:rsid w:val="00334021"/>
    <w:rsid w:val="00350105"/>
    <w:rsid w:val="003502E3"/>
    <w:rsid w:val="00351063"/>
    <w:rsid w:val="00356854"/>
    <w:rsid w:val="003808DD"/>
    <w:rsid w:val="00380B00"/>
    <w:rsid w:val="0038340E"/>
    <w:rsid w:val="0039353F"/>
    <w:rsid w:val="00396184"/>
    <w:rsid w:val="003A36FC"/>
    <w:rsid w:val="003A5C94"/>
    <w:rsid w:val="003A6D26"/>
    <w:rsid w:val="003B175A"/>
    <w:rsid w:val="003B4A40"/>
    <w:rsid w:val="003B7FBF"/>
    <w:rsid w:val="003D6031"/>
    <w:rsid w:val="003E4A5E"/>
    <w:rsid w:val="003E7A25"/>
    <w:rsid w:val="003F6750"/>
    <w:rsid w:val="003F74E1"/>
    <w:rsid w:val="00406FF3"/>
    <w:rsid w:val="0041193C"/>
    <w:rsid w:val="00413D1B"/>
    <w:rsid w:val="00425348"/>
    <w:rsid w:val="004266A8"/>
    <w:rsid w:val="004364C9"/>
    <w:rsid w:val="004409FA"/>
    <w:rsid w:val="00446992"/>
    <w:rsid w:val="00447D14"/>
    <w:rsid w:val="00456030"/>
    <w:rsid w:val="0045613C"/>
    <w:rsid w:val="00464233"/>
    <w:rsid w:val="00471715"/>
    <w:rsid w:val="0047196A"/>
    <w:rsid w:val="00476266"/>
    <w:rsid w:val="00476B59"/>
    <w:rsid w:val="00484A13"/>
    <w:rsid w:val="00492375"/>
    <w:rsid w:val="00494204"/>
    <w:rsid w:val="00497CFF"/>
    <w:rsid w:val="004A0C38"/>
    <w:rsid w:val="004A50A6"/>
    <w:rsid w:val="004C04E5"/>
    <w:rsid w:val="004E5CA5"/>
    <w:rsid w:val="005021D3"/>
    <w:rsid w:val="0050466F"/>
    <w:rsid w:val="00507750"/>
    <w:rsid w:val="00512B05"/>
    <w:rsid w:val="0051569E"/>
    <w:rsid w:val="00515B3B"/>
    <w:rsid w:val="005234CD"/>
    <w:rsid w:val="005236D5"/>
    <w:rsid w:val="00532275"/>
    <w:rsid w:val="00543880"/>
    <w:rsid w:val="00546EF2"/>
    <w:rsid w:val="005474F6"/>
    <w:rsid w:val="005646B2"/>
    <w:rsid w:val="005769B8"/>
    <w:rsid w:val="005864A3"/>
    <w:rsid w:val="00594098"/>
    <w:rsid w:val="005A3C55"/>
    <w:rsid w:val="005B1D88"/>
    <w:rsid w:val="005C6606"/>
    <w:rsid w:val="005D0D03"/>
    <w:rsid w:val="005E13A3"/>
    <w:rsid w:val="005E742F"/>
    <w:rsid w:val="005E7B2F"/>
    <w:rsid w:val="005F2FA6"/>
    <w:rsid w:val="005F5B57"/>
    <w:rsid w:val="005F6C48"/>
    <w:rsid w:val="005F7836"/>
    <w:rsid w:val="006026A7"/>
    <w:rsid w:val="00607BB2"/>
    <w:rsid w:val="006156E2"/>
    <w:rsid w:val="006254EC"/>
    <w:rsid w:val="006267D4"/>
    <w:rsid w:val="00627736"/>
    <w:rsid w:val="00627CE5"/>
    <w:rsid w:val="00630E6F"/>
    <w:rsid w:val="006455ED"/>
    <w:rsid w:val="00690764"/>
    <w:rsid w:val="006922A8"/>
    <w:rsid w:val="00692F08"/>
    <w:rsid w:val="00693B39"/>
    <w:rsid w:val="006A046F"/>
    <w:rsid w:val="006A28AB"/>
    <w:rsid w:val="006C27CB"/>
    <w:rsid w:val="006C2C2C"/>
    <w:rsid w:val="006C314F"/>
    <w:rsid w:val="006C31C0"/>
    <w:rsid w:val="006C57CB"/>
    <w:rsid w:val="006D1956"/>
    <w:rsid w:val="006D1E0E"/>
    <w:rsid w:val="006D2B4E"/>
    <w:rsid w:val="006D450D"/>
    <w:rsid w:val="006E214A"/>
    <w:rsid w:val="006E217A"/>
    <w:rsid w:val="006E3AD3"/>
    <w:rsid w:val="006E6E49"/>
    <w:rsid w:val="006E70F9"/>
    <w:rsid w:val="006F1671"/>
    <w:rsid w:val="006F1966"/>
    <w:rsid w:val="006F2DFE"/>
    <w:rsid w:val="006F6839"/>
    <w:rsid w:val="0070392F"/>
    <w:rsid w:val="00710F94"/>
    <w:rsid w:val="00713B8A"/>
    <w:rsid w:val="0072234D"/>
    <w:rsid w:val="00723C94"/>
    <w:rsid w:val="00733C7A"/>
    <w:rsid w:val="00735FF8"/>
    <w:rsid w:val="00753FFC"/>
    <w:rsid w:val="00760CF1"/>
    <w:rsid w:val="0076405B"/>
    <w:rsid w:val="00766B4C"/>
    <w:rsid w:val="00775166"/>
    <w:rsid w:val="0078569F"/>
    <w:rsid w:val="007913C2"/>
    <w:rsid w:val="00792EFF"/>
    <w:rsid w:val="00795CC5"/>
    <w:rsid w:val="007A33E8"/>
    <w:rsid w:val="007A7207"/>
    <w:rsid w:val="007C0228"/>
    <w:rsid w:val="007C1139"/>
    <w:rsid w:val="007C54DF"/>
    <w:rsid w:val="007D5F7B"/>
    <w:rsid w:val="007E77C3"/>
    <w:rsid w:val="007F7E35"/>
    <w:rsid w:val="00811C23"/>
    <w:rsid w:val="00820FF0"/>
    <w:rsid w:val="00825B1D"/>
    <w:rsid w:val="008330D0"/>
    <w:rsid w:val="00834CFE"/>
    <w:rsid w:val="00837E62"/>
    <w:rsid w:val="00843F0B"/>
    <w:rsid w:val="00847FBE"/>
    <w:rsid w:val="008545A5"/>
    <w:rsid w:val="00856627"/>
    <w:rsid w:val="00862DE5"/>
    <w:rsid w:val="00865A4C"/>
    <w:rsid w:val="00870809"/>
    <w:rsid w:val="0087523C"/>
    <w:rsid w:val="0087678C"/>
    <w:rsid w:val="0087702E"/>
    <w:rsid w:val="0089273D"/>
    <w:rsid w:val="008A01DE"/>
    <w:rsid w:val="008B17FC"/>
    <w:rsid w:val="008B4E79"/>
    <w:rsid w:val="008B628A"/>
    <w:rsid w:val="008C1CF4"/>
    <w:rsid w:val="008C4D26"/>
    <w:rsid w:val="008D04B9"/>
    <w:rsid w:val="008E44DB"/>
    <w:rsid w:val="008F77AF"/>
    <w:rsid w:val="0091678D"/>
    <w:rsid w:val="00926A42"/>
    <w:rsid w:val="00930D3A"/>
    <w:rsid w:val="009357AC"/>
    <w:rsid w:val="00937655"/>
    <w:rsid w:val="00942CBD"/>
    <w:rsid w:val="0094562D"/>
    <w:rsid w:val="0094706F"/>
    <w:rsid w:val="00947C5D"/>
    <w:rsid w:val="0095193E"/>
    <w:rsid w:val="0095199A"/>
    <w:rsid w:val="00957DF5"/>
    <w:rsid w:val="00973962"/>
    <w:rsid w:val="00975926"/>
    <w:rsid w:val="0097723D"/>
    <w:rsid w:val="00985B1D"/>
    <w:rsid w:val="009C233B"/>
    <w:rsid w:val="009C3FC2"/>
    <w:rsid w:val="009C4B97"/>
    <w:rsid w:val="009C4FBE"/>
    <w:rsid w:val="009D203C"/>
    <w:rsid w:val="009D21E2"/>
    <w:rsid w:val="009D3C03"/>
    <w:rsid w:val="009D3DFB"/>
    <w:rsid w:val="009D6517"/>
    <w:rsid w:val="009D6D38"/>
    <w:rsid w:val="009D6D50"/>
    <w:rsid w:val="009E2939"/>
    <w:rsid w:val="009E695B"/>
    <w:rsid w:val="009F0A2A"/>
    <w:rsid w:val="009F330C"/>
    <w:rsid w:val="009F643C"/>
    <w:rsid w:val="009F727D"/>
    <w:rsid w:val="00A1013E"/>
    <w:rsid w:val="00A13E83"/>
    <w:rsid w:val="00A14098"/>
    <w:rsid w:val="00A14850"/>
    <w:rsid w:val="00A224A1"/>
    <w:rsid w:val="00A34F89"/>
    <w:rsid w:val="00A362A7"/>
    <w:rsid w:val="00A3670D"/>
    <w:rsid w:val="00A44F89"/>
    <w:rsid w:val="00A5417E"/>
    <w:rsid w:val="00A777C1"/>
    <w:rsid w:val="00A939D4"/>
    <w:rsid w:val="00A97DD3"/>
    <w:rsid w:val="00AA1104"/>
    <w:rsid w:val="00AC08BD"/>
    <w:rsid w:val="00AF0E85"/>
    <w:rsid w:val="00B13891"/>
    <w:rsid w:val="00B14370"/>
    <w:rsid w:val="00B15481"/>
    <w:rsid w:val="00B16EC1"/>
    <w:rsid w:val="00B26F08"/>
    <w:rsid w:val="00B35B9A"/>
    <w:rsid w:val="00B42887"/>
    <w:rsid w:val="00B56624"/>
    <w:rsid w:val="00B734EB"/>
    <w:rsid w:val="00B773A5"/>
    <w:rsid w:val="00B8105A"/>
    <w:rsid w:val="00B92A4A"/>
    <w:rsid w:val="00B96CC5"/>
    <w:rsid w:val="00BB3756"/>
    <w:rsid w:val="00BB3F80"/>
    <w:rsid w:val="00BB4E0D"/>
    <w:rsid w:val="00BB5188"/>
    <w:rsid w:val="00BC2BC3"/>
    <w:rsid w:val="00BE6147"/>
    <w:rsid w:val="00C051C0"/>
    <w:rsid w:val="00C12D78"/>
    <w:rsid w:val="00C3034C"/>
    <w:rsid w:val="00C40735"/>
    <w:rsid w:val="00C53DF2"/>
    <w:rsid w:val="00C55893"/>
    <w:rsid w:val="00C61442"/>
    <w:rsid w:val="00C6219E"/>
    <w:rsid w:val="00C74534"/>
    <w:rsid w:val="00C770D1"/>
    <w:rsid w:val="00C901CB"/>
    <w:rsid w:val="00C932CC"/>
    <w:rsid w:val="00C94678"/>
    <w:rsid w:val="00C94839"/>
    <w:rsid w:val="00C95A37"/>
    <w:rsid w:val="00CA5553"/>
    <w:rsid w:val="00CA7CD4"/>
    <w:rsid w:val="00CB5F79"/>
    <w:rsid w:val="00CB7196"/>
    <w:rsid w:val="00CB77D2"/>
    <w:rsid w:val="00CC5ED1"/>
    <w:rsid w:val="00CC7FCA"/>
    <w:rsid w:val="00CD3779"/>
    <w:rsid w:val="00CD47B6"/>
    <w:rsid w:val="00CE699B"/>
    <w:rsid w:val="00CF142D"/>
    <w:rsid w:val="00CF1931"/>
    <w:rsid w:val="00D009E6"/>
    <w:rsid w:val="00D01D94"/>
    <w:rsid w:val="00D061AE"/>
    <w:rsid w:val="00D06760"/>
    <w:rsid w:val="00D15184"/>
    <w:rsid w:val="00D16F81"/>
    <w:rsid w:val="00D17E68"/>
    <w:rsid w:val="00D23680"/>
    <w:rsid w:val="00D3400B"/>
    <w:rsid w:val="00D4444E"/>
    <w:rsid w:val="00D46073"/>
    <w:rsid w:val="00D47722"/>
    <w:rsid w:val="00D5100A"/>
    <w:rsid w:val="00D64324"/>
    <w:rsid w:val="00D6629A"/>
    <w:rsid w:val="00D66B85"/>
    <w:rsid w:val="00D720F3"/>
    <w:rsid w:val="00D875D1"/>
    <w:rsid w:val="00D933F3"/>
    <w:rsid w:val="00D97F9F"/>
    <w:rsid w:val="00DA3811"/>
    <w:rsid w:val="00DB02EF"/>
    <w:rsid w:val="00DB2517"/>
    <w:rsid w:val="00DB3A4F"/>
    <w:rsid w:val="00DC0B1A"/>
    <w:rsid w:val="00DD007F"/>
    <w:rsid w:val="00DD1927"/>
    <w:rsid w:val="00DE0341"/>
    <w:rsid w:val="00DE3C43"/>
    <w:rsid w:val="00DE5863"/>
    <w:rsid w:val="00E034A5"/>
    <w:rsid w:val="00E2402C"/>
    <w:rsid w:val="00E25563"/>
    <w:rsid w:val="00E267CA"/>
    <w:rsid w:val="00E40404"/>
    <w:rsid w:val="00E46AA8"/>
    <w:rsid w:val="00E476A2"/>
    <w:rsid w:val="00E62593"/>
    <w:rsid w:val="00E65B7C"/>
    <w:rsid w:val="00E7031B"/>
    <w:rsid w:val="00E71AF1"/>
    <w:rsid w:val="00E80C0F"/>
    <w:rsid w:val="00E85065"/>
    <w:rsid w:val="00E862BD"/>
    <w:rsid w:val="00E86B58"/>
    <w:rsid w:val="00EA1EB5"/>
    <w:rsid w:val="00EC5005"/>
    <w:rsid w:val="00EC775D"/>
    <w:rsid w:val="00ED014A"/>
    <w:rsid w:val="00EE22E6"/>
    <w:rsid w:val="00EE504E"/>
    <w:rsid w:val="00EE5603"/>
    <w:rsid w:val="00EE6C4D"/>
    <w:rsid w:val="00F02FC2"/>
    <w:rsid w:val="00F07A1E"/>
    <w:rsid w:val="00F1025C"/>
    <w:rsid w:val="00F11F55"/>
    <w:rsid w:val="00F12BB8"/>
    <w:rsid w:val="00F27626"/>
    <w:rsid w:val="00F60890"/>
    <w:rsid w:val="00F60E26"/>
    <w:rsid w:val="00F60FE5"/>
    <w:rsid w:val="00F61184"/>
    <w:rsid w:val="00F76E4F"/>
    <w:rsid w:val="00F81708"/>
    <w:rsid w:val="00F82841"/>
    <w:rsid w:val="00F87AF6"/>
    <w:rsid w:val="00F92841"/>
    <w:rsid w:val="00FA0C55"/>
    <w:rsid w:val="00FB08A2"/>
    <w:rsid w:val="00FB12AA"/>
    <w:rsid w:val="00FB1F81"/>
    <w:rsid w:val="00FC6ADB"/>
    <w:rsid w:val="00FE4983"/>
    <w:rsid w:val="00FE58FB"/>
    <w:rsid w:val="00FE76D6"/>
    <w:rsid w:val="00FF5C2C"/>
    <w:rsid w:val="00FF77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72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91"/>
    <w:pPr>
      <w:spacing w:after="0" w:line="240" w:lineRule="auto"/>
    </w:pPr>
    <w:rPr>
      <w:rFonts w:ascii="Calibri" w:hAnsi="Calibri" w:cs="Times New Roman"/>
    </w:rPr>
  </w:style>
  <w:style w:type="paragraph" w:styleId="Heading1">
    <w:name w:val="heading 1"/>
    <w:basedOn w:val="Normal"/>
    <w:link w:val="Heading1Char"/>
    <w:uiPriority w:val="9"/>
    <w:qFormat/>
    <w:rsid w:val="00FA0C55"/>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91"/>
    <w:pPr>
      <w:ind w:left="720"/>
    </w:pPr>
    <w:rPr>
      <w:rFonts w:eastAsia="SimSun" w:cs="Arial"/>
    </w:rPr>
  </w:style>
  <w:style w:type="character" w:styleId="CommentReference">
    <w:name w:val="annotation reference"/>
    <w:basedOn w:val="DefaultParagraphFont"/>
    <w:semiHidden/>
    <w:unhideWhenUsed/>
    <w:rsid w:val="004C04E5"/>
    <w:rPr>
      <w:sz w:val="16"/>
      <w:szCs w:val="16"/>
    </w:rPr>
  </w:style>
  <w:style w:type="paragraph" w:styleId="CommentText">
    <w:name w:val="annotation text"/>
    <w:basedOn w:val="Normal"/>
    <w:link w:val="CommentTextChar"/>
    <w:unhideWhenUsed/>
    <w:rsid w:val="004C04E5"/>
    <w:rPr>
      <w:sz w:val="20"/>
      <w:szCs w:val="20"/>
    </w:rPr>
  </w:style>
  <w:style w:type="character" w:customStyle="1" w:styleId="CommentTextChar">
    <w:name w:val="Comment Text Char"/>
    <w:basedOn w:val="DefaultParagraphFont"/>
    <w:link w:val="CommentText"/>
    <w:rsid w:val="004C04E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04E5"/>
    <w:rPr>
      <w:b/>
      <w:bCs/>
    </w:rPr>
  </w:style>
  <w:style w:type="character" w:customStyle="1" w:styleId="CommentSubjectChar">
    <w:name w:val="Comment Subject Char"/>
    <w:basedOn w:val="CommentTextChar"/>
    <w:link w:val="CommentSubject"/>
    <w:uiPriority w:val="99"/>
    <w:semiHidden/>
    <w:rsid w:val="004C04E5"/>
    <w:rPr>
      <w:rFonts w:ascii="Calibri" w:hAnsi="Calibri" w:cs="Times New Roman"/>
      <w:b/>
      <w:bCs/>
      <w:sz w:val="20"/>
      <w:szCs w:val="20"/>
    </w:rPr>
  </w:style>
  <w:style w:type="paragraph" w:styleId="BalloonText">
    <w:name w:val="Balloon Text"/>
    <w:basedOn w:val="Normal"/>
    <w:link w:val="BalloonTextChar"/>
    <w:uiPriority w:val="99"/>
    <w:semiHidden/>
    <w:unhideWhenUsed/>
    <w:rsid w:val="004C04E5"/>
    <w:rPr>
      <w:rFonts w:ascii="Tahoma" w:hAnsi="Tahoma" w:cs="Tahoma"/>
      <w:sz w:val="16"/>
      <w:szCs w:val="16"/>
    </w:rPr>
  </w:style>
  <w:style w:type="character" w:customStyle="1" w:styleId="BalloonTextChar">
    <w:name w:val="Balloon Text Char"/>
    <w:basedOn w:val="DefaultParagraphFont"/>
    <w:link w:val="BalloonText"/>
    <w:uiPriority w:val="99"/>
    <w:semiHidden/>
    <w:rsid w:val="004C04E5"/>
    <w:rPr>
      <w:rFonts w:ascii="Tahoma" w:hAnsi="Tahoma" w:cs="Tahoma"/>
      <w:sz w:val="16"/>
      <w:szCs w:val="16"/>
    </w:rPr>
  </w:style>
  <w:style w:type="character" w:styleId="Hyperlink">
    <w:name w:val="Hyperlink"/>
    <w:basedOn w:val="DefaultParagraphFont"/>
    <w:uiPriority w:val="99"/>
    <w:unhideWhenUsed/>
    <w:rsid w:val="00820FF0"/>
    <w:rPr>
      <w:color w:val="0000FF" w:themeColor="hyperlink"/>
      <w:u w:val="single"/>
    </w:rPr>
  </w:style>
  <w:style w:type="paragraph" w:styleId="NormalWeb">
    <w:name w:val="Normal (Web)"/>
    <w:basedOn w:val="Normal"/>
    <w:uiPriority w:val="99"/>
    <w:semiHidden/>
    <w:unhideWhenUsed/>
    <w:rsid w:val="00775166"/>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4409F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334021"/>
    <w:rPr>
      <w:color w:val="800080" w:themeColor="followedHyperlink"/>
      <w:u w:val="single"/>
    </w:rPr>
  </w:style>
  <w:style w:type="character" w:customStyle="1" w:styleId="Heading1Char">
    <w:name w:val="Heading 1 Char"/>
    <w:basedOn w:val="DefaultParagraphFont"/>
    <w:link w:val="Heading1"/>
    <w:uiPriority w:val="9"/>
    <w:rsid w:val="00FA0C55"/>
    <w:rPr>
      <w:rFonts w:ascii="Times New Roman" w:eastAsia="Times New Roman" w:hAnsi="Times New Roman" w:cs="Times New Roman"/>
      <w:b/>
      <w:bCs/>
      <w:kern w:val="36"/>
      <w:sz w:val="48"/>
      <w:szCs w:val="48"/>
    </w:rPr>
  </w:style>
  <w:style w:type="table" w:styleId="TableGrid">
    <w:name w:val="Table Grid"/>
    <w:basedOn w:val="TableNormal"/>
    <w:uiPriority w:val="59"/>
    <w:rsid w:val="00E8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C0F"/>
    <w:pPr>
      <w:tabs>
        <w:tab w:val="center" w:pos="4513"/>
        <w:tab w:val="right" w:pos="9026"/>
      </w:tabs>
    </w:pPr>
  </w:style>
  <w:style w:type="character" w:customStyle="1" w:styleId="HeaderChar">
    <w:name w:val="Header Char"/>
    <w:basedOn w:val="DefaultParagraphFont"/>
    <w:link w:val="Header"/>
    <w:uiPriority w:val="99"/>
    <w:rsid w:val="00E80C0F"/>
    <w:rPr>
      <w:rFonts w:ascii="Calibri" w:hAnsi="Calibri" w:cs="Times New Roman"/>
    </w:rPr>
  </w:style>
  <w:style w:type="paragraph" w:styleId="Footer">
    <w:name w:val="footer"/>
    <w:basedOn w:val="Normal"/>
    <w:link w:val="FooterChar"/>
    <w:uiPriority w:val="99"/>
    <w:unhideWhenUsed/>
    <w:rsid w:val="00E80C0F"/>
    <w:pPr>
      <w:tabs>
        <w:tab w:val="center" w:pos="4513"/>
        <w:tab w:val="right" w:pos="9026"/>
      </w:tabs>
    </w:pPr>
  </w:style>
  <w:style w:type="character" w:customStyle="1" w:styleId="FooterChar">
    <w:name w:val="Footer Char"/>
    <w:basedOn w:val="DefaultParagraphFont"/>
    <w:link w:val="Footer"/>
    <w:uiPriority w:val="99"/>
    <w:rsid w:val="00E80C0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91"/>
    <w:pPr>
      <w:spacing w:after="0" w:line="240" w:lineRule="auto"/>
    </w:pPr>
    <w:rPr>
      <w:rFonts w:ascii="Calibri" w:hAnsi="Calibri" w:cs="Times New Roman"/>
    </w:rPr>
  </w:style>
  <w:style w:type="paragraph" w:styleId="Heading1">
    <w:name w:val="heading 1"/>
    <w:basedOn w:val="Normal"/>
    <w:link w:val="Heading1Char"/>
    <w:uiPriority w:val="9"/>
    <w:qFormat/>
    <w:rsid w:val="00FA0C55"/>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91"/>
    <w:pPr>
      <w:ind w:left="720"/>
    </w:pPr>
    <w:rPr>
      <w:rFonts w:eastAsia="SimSun" w:cs="Arial"/>
    </w:rPr>
  </w:style>
  <w:style w:type="character" w:styleId="CommentReference">
    <w:name w:val="annotation reference"/>
    <w:basedOn w:val="DefaultParagraphFont"/>
    <w:semiHidden/>
    <w:unhideWhenUsed/>
    <w:rsid w:val="004C04E5"/>
    <w:rPr>
      <w:sz w:val="16"/>
      <w:szCs w:val="16"/>
    </w:rPr>
  </w:style>
  <w:style w:type="paragraph" w:styleId="CommentText">
    <w:name w:val="annotation text"/>
    <w:basedOn w:val="Normal"/>
    <w:link w:val="CommentTextChar"/>
    <w:unhideWhenUsed/>
    <w:rsid w:val="004C04E5"/>
    <w:rPr>
      <w:sz w:val="20"/>
      <w:szCs w:val="20"/>
    </w:rPr>
  </w:style>
  <w:style w:type="character" w:customStyle="1" w:styleId="CommentTextChar">
    <w:name w:val="Comment Text Char"/>
    <w:basedOn w:val="DefaultParagraphFont"/>
    <w:link w:val="CommentText"/>
    <w:rsid w:val="004C04E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04E5"/>
    <w:rPr>
      <w:b/>
      <w:bCs/>
    </w:rPr>
  </w:style>
  <w:style w:type="character" w:customStyle="1" w:styleId="CommentSubjectChar">
    <w:name w:val="Comment Subject Char"/>
    <w:basedOn w:val="CommentTextChar"/>
    <w:link w:val="CommentSubject"/>
    <w:uiPriority w:val="99"/>
    <w:semiHidden/>
    <w:rsid w:val="004C04E5"/>
    <w:rPr>
      <w:rFonts w:ascii="Calibri" w:hAnsi="Calibri" w:cs="Times New Roman"/>
      <w:b/>
      <w:bCs/>
      <w:sz w:val="20"/>
      <w:szCs w:val="20"/>
    </w:rPr>
  </w:style>
  <w:style w:type="paragraph" w:styleId="BalloonText">
    <w:name w:val="Balloon Text"/>
    <w:basedOn w:val="Normal"/>
    <w:link w:val="BalloonTextChar"/>
    <w:uiPriority w:val="99"/>
    <w:semiHidden/>
    <w:unhideWhenUsed/>
    <w:rsid w:val="004C04E5"/>
    <w:rPr>
      <w:rFonts w:ascii="Tahoma" w:hAnsi="Tahoma" w:cs="Tahoma"/>
      <w:sz w:val="16"/>
      <w:szCs w:val="16"/>
    </w:rPr>
  </w:style>
  <w:style w:type="character" w:customStyle="1" w:styleId="BalloonTextChar">
    <w:name w:val="Balloon Text Char"/>
    <w:basedOn w:val="DefaultParagraphFont"/>
    <w:link w:val="BalloonText"/>
    <w:uiPriority w:val="99"/>
    <w:semiHidden/>
    <w:rsid w:val="004C04E5"/>
    <w:rPr>
      <w:rFonts w:ascii="Tahoma" w:hAnsi="Tahoma" w:cs="Tahoma"/>
      <w:sz w:val="16"/>
      <w:szCs w:val="16"/>
    </w:rPr>
  </w:style>
  <w:style w:type="character" w:styleId="Hyperlink">
    <w:name w:val="Hyperlink"/>
    <w:basedOn w:val="DefaultParagraphFont"/>
    <w:uiPriority w:val="99"/>
    <w:unhideWhenUsed/>
    <w:rsid w:val="00820FF0"/>
    <w:rPr>
      <w:color w:val="0000FF" w:themeColor="hyperlink"/>
      <w:u w:val="single"/>
    </w:rPr>
  </w:style>
  <w:style w:type="paragraph" w:styleId="NormalWeb">
    <w:name w:val="Normal (Web)"/>
    <w:basedOn w:val="Normal"/>
    <w:uiPriority w:val="99"/>
    <w:semiHidden/>
    <w:unhideWhenUsed/>
    <w:rsid w:val="00775166"/>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4409F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334021"/>
    <w:rPr>
      <w:color w:val="800080" w:themeColor="followedHyperlink"/>
      <w:u w:val="single"/>
    </w:rPr>
  </w:style>
  <w:style w:type="character" w:customStyle="1" w:styleId="Heading1Char">
    <w:name w:val="Heading 1 Char"/>
    <w:basedOn w:val="DefaultParagraphFont"/>
    <w:link w:val="Heading1"/>
    <w:uiPriority w:val="9"/>
    <w:rsid w:val="00FA0C55"/>
    <w:rPr>
      <w:rFonts w:ascii="Times New Roman" w:eastAsia="Times New Roman" w:hAnsi="Times New Roman" w:cs="Times New Roman"/>
      <w:b/>
      <w:bCs/>
      <w:kern w:val="36"/>
      <w:sz w:val="48"/>
      <w:szCs w:val="48"/>
    </w:rPr>
  </w:style>
  <w:style w:type="table" w:styleId="TableGrid">
    <w:name w:val="Table Grid"/>
    <w:basedOn w:val="TableNormal"/>
    <w:uiPriority w:val="59"/>
    <w:rsid w:val="00E8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C0F"/>
    <w:pPr>
      <w:tabs>
        <w:tab w:val="center" w:pos="4513"/>
        <w:tab w:val="right" w:pos="9026"/>
      </w:tabs>
    </w:pPr>
  </w:style>
  <w:style w:type="character" w:customStyle="1" w:styleId="HeaderChar">
    <w:name w:val="Header Char"/>
    <w:basedOn w:val="DefaultParagraphFont"/>
    <w:link w:val="Header"/>
    <w:uiPriority w:val="99"/>
    <w:rsid w:val="00E80C0F"/>
    <w:rPr>
      <w:rFonts w:ascii="Calibri" w:hAnsi="Calibri" w:cs="Times New Roman"/>
    </w:rPr>
  </w:style>
  <w:style w:type="paragraph" w:styleId="Footer">
    <w:name w:val="footer"/>
    <w:basedOn w:val="Normal"/>
    <w:link w:val="FooterChar"/>
    <w:uiPriority w:val="99"/>
    <w:unhideWhenUsed/>
    <w:rsid w:val="00E80C0F"/>
    <w:pPr>
      <w:tabs>
        <w:tab w:val="center" w:pos="4513"/>
        <w:tab w:val="right" w:pos="9026"/>
      </w:tabs>
    </w:pPr>
  </w:style>
  <w:style w:type="character" w:customStyle="1" w:styleId="FooterChar">
    <w:name w:val="Footer Char"/>
    <w:basedOn w:val="DefaultParagraphFont"/>
    <w:link w:val="Footer"/>
    <w:uiPriority w:val="99"/>
    <w:rsid w:val="00E80C0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3415">
      <w:bodyDiv w:val="1"/>
      <w:marLeft w:val="0"/>
      <w:marRight w:val="0"/>
      <w:marTop w:val="0"/>
      <w:marBottom w:val="0"/>
      <w:divBdr>
        <w:top w:val="none" w:sz="0" w:space="0" w:color="auto"/>
        <w:left w:val="none" w:sz="0" w:space="0" w:color="auto"/>
        <w:bottom w:val="none" w:sz="0" w:space="0" w:color="auto"/>
        <w:right w:val="none" w:sz="0" w:space="0" w:color="auto"/>
      </w:divBdr>
    </w:div>
    <w:div w:id="262959238">
      <w:bodyDiv w:val="1"/>
      <w:marLeft w:val="0"/>
      <w:marRight w:val="0"/>
      <w:marTop w:val="0"/>
      <w:marBottom w:val="0"/>
      <w:divBdr>
        <w:top w:val="none" w:sz="0" w:space="0" w:color="auto"/>
        <w:left w:val="none" w:sz="0" w:space="0" w:color="auto"/>
        <w:bottom w:val="none" w:sz="0" w:space="0" w:color="auto"/>
        <w:right w:val="none" w:sz="0" w:space="0" w:color="auto"/>
      </w:divBdr>
    </w:div>
    <w:div w:id="316612465">
      <w:bodyDiv w:val="1"/>
      <w:marLeft w:val="0"/>
      <w:marRight w:val="0"/>
      <w:marTop w:val="0"/>
      <w:marBottom w:val="0"/>
      <w:divBdr>
        <w:top w:val="none" w:sz="0" w:space="0" w:color="auto"/>
        <w:left w:val="none" w:sz="0" w:space="0" w:color="auto"/>
        <w:bottom w:val="none" w:sz="0" w:space="0" w:color="auto"/>
        <w:right w:val="none" w:sz="0" w:space="0" w:color="auto"/>
      </w:divBdr>
      <w:divsChild>
        <w:div w:id="1949390307">
          <w:marLeft w:val="0"/>
          <w:marRight w:val="0"/>
          <w:marTop w:val="0"/>
          <w:marBottom w:val="0"/>
          <w:divBdr>
            <w:top w:val="none" w:sz="0" w:space="0" w:color="auto"/>
            <w:left w:val="none" w:sz="0" w:space="0" w:color="auto"/>
            <w:bottom w:val="none" w:sz="0" w:space="0" w:color="auto"/>
            <w:right w:val="none" w:sz="0" w:space="0" w:color="auto"/>
          </w:divBdr>
          <w:divsChild>
            <w:div w:id="385685512">
              <w:marLeft w:val="0"/>
              <w:marRight w:val="0"/>
              <w:marTop w:val="0"/>
              <w:marBottom w:val="0"/>
              <w:divBdr>
                <w:top w:val="none" w:sz="0" w:space="0" w:color="auto"/>
                <w:left w:val="none" w:sz="0" w:space="0" w:color="auto"/>
                <w:bottom w:val="none" w:sz="0" w:space="0" w:color="auto"/>
                <w:right w:val="none" w:sz="0" w:space="0" w:color="auto"/>
              </w:divBdr>
              <w:divsChild>
                <w:div w:id="765615194">
                  <w:marLeft w:val="0"/>
                  <w:marRight w:val="0"/>
                  <w:marTop w:val="0"/>
                  <w:marBottom w:val="0"/>
                  <w:divBdr>
                    <w:top w:val="none" w:sz="0" w:space="0" w:color="auto"/>
                    <w:left w:val="none" w:sz="0" w:space="0" w:color="auto"/>
                    <w:bottom w:val="none" w:sz="0" w:space="0" w:color="auto"/>
                    <w:right w:val="none" w:sz="0" w:space="0" w:color="auto"/>
                  </w:divBdr>
                  <w:divsChild>
                    <w:div w:id="635068571">
                      <w:marLeft w:val="0"/>
                      <w:marRight w:val="0"/>
                      <w:marTop w:val="0"/>
                      <w:marBottom w:val="0"/>
                      <w:divBdr>
                        <w:top w:val="none" w:sz="0" w:space="0" w:color="auto"/>
                        <w:left w:val="none" w:sz="0" w:space="0" w:color="auto"/>
                        <w:bottom w:val="none" w:sz="0" w:space="0" w:color="auto"/>
                        <w:right w:val="none" w:sz="0" w:space="0" w:color="auto"/>
                      </w:divBdr>
                      <w:divsChild>
                        <w:div w:id="10545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337403">
      <w:bodyDiv w:val="1"/>
      <w:marLeft w:val="0"/>
      <w:marRight w:val="0"/>
      <w:marTop w:val="0"/>
      <w:marBottom w:val="0"/>
      <w:divBdr>
        <w:top w:val="none" w:sz="0" w:space="0" w:color="auto"/>
        <w:left w:val="none" w:sz="0" w:space="0" w:color="auto"/>
        <w:bottom w:val="none" w:sz="0" w:space="0" w:color="auto"/>
        <w:right w:val="none" w:sz="0" w:space="0" w:color="auto"/>
      </w:divBdr>
    </w:div>
    <w:div w:id="493297447">
      <w:bodyDiv w:val="1"/>
      <w:marLeft w:val="0"/>
      <w:marRight w:val="0"/>
      <w:marTop w:val="0"/>
      <w:marBottom w:val="0"/>
      <w:divBdr>
        <w:top w:val="none" w:sz="0" w:space="0" w:color="auto"/>
        <w:left w:val="none" w:sz="0" w:space="0" w:color="auto"/>
        <w:bottom w:val="none" w:sz="0" w:space="0" w:color="auto"/>
        <w:right w:val="none" w:sz="0" w:space="0" w:color="auto"/>
      </w:divBdr>
    </w:div>
    <w:div w:id="548033241">
      <w:bodyDiv w:val="1"/>
      <w:marLeft w:val="0"/>
      <w:marRight w:val="0"/>
      <w:marTop w:val="0"/>
      <w:marBottom w:val="0"/>
      <w:divBdr>
        <w:top w:val="none" w:sz="0" w:space="0" w:color="auto"/>
        <w:left w:val="none" w:sz="0" w:space="0" w:color="auto"/>
        <w:bottom w:val="none" w:sz="0" w:space="0" w:color="auto"/>
        <w:right w:val="none" w:sz="0" w:space="0" w:color="auto"/>
      </w:divBdr>
    </w:div>
    <w:div w:id="849835849">
      <w:bodyDiv w:val="1"/>
      <w:marLeft w:val="0"/>
      <w:marRight w:val="0"/>
      <w:marTop w:val="0"/>
      <w:marBottom w:val="0"/>
      <w:divBdr>
        <w:top w:val="none" w:sz="0" w:space="0" w:color="auto"/>
        <w:left w:val="none" w:sz="0" w:space="0" w:color="auto"/>
        <w:bottom w:val="none" w:sz="0" w:space="0" w:color="auto"/>
        <w:right w:val="none" w:sz="0" w:space="0" w:color="auto"/>
      </w:divBdr>
    </w:div>
    <w:div w:id="1831407719">
      <w:bodyDiv w:val="1"/>
      <w:marLeft w:val="0"/>
      <w:marRight w:val="0"/>
      <w:marTop w:val="0"/>
      <w:marBottom w:val="0"/>
      <w:divBdr>
        <w:top w:val="none" w:sz="0" w:space="0" w:color="auto"/>
        <w:left w:val="none" w:sz="0" w:space="0" w:color="auto"/>
        <w:bottom w:val="none" w:sz="0" w:space="0" w:color="auto"/>
        <w:right w:val="none" w:sz="0" w:space="0" w:color="auto"/>
      </w:divBdr>
    </w:div>
    <w:div w:id="20352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euro.who.int/en/health-topics/Health-systems/health-systems-financing/publications/clusters/universal-health-coverage-financial-protection/universal-health-coverage-financial-protection-country-review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HILLER, Kina Kira</dc:creator>
  <cp:lastModifiedBy>DOMENTE, Silviu</cp:lastModifiedBy>
  <cp:revision>2</cp:revision>
  <cp:lastPrinted>2018-04-10T09:18:00Z</cp:lastPrinted>
  <dcterms:created xsi:type="dcterms:W3CDTF">2019-04-02T07:33:00Z</dcterms:created>
  <dcterms:modified xsi:type="dcterms:W3CDTF">2019-04-02T07:33:00Z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